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0AEDA572"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r w:rsidR="00821BA5" w:rsidRPr="00345AFD">
        <w:rPr>
          <w:sz w:val="22"/>
          <w:szCs w:val="22"/>
          <w:lang w:val="sr-Latn-RS"/>
        </w:rPr>
        <w:t>Course Syllabus</w:t>
      </w:r>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1DEBCA78" w:rsidR="00641FAC" w:rsidRPr="00664504" w:rsidRDefault="00821BA5"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648C76E2" w:rsidR="00641FAC" w:rsidRPr="00664504" w:rsidRDefault="00821BA5"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883E0E" w:rsidRPr="00883E0E">
              <w:rPr>
                <w:rFonts w:ascii="Times New Roman" w:hAnsi="Times New Roman" w:cs="Times New Roman"/>
                <w:b/>
                <w:bCs/>
                <w:sz w:val="20"/>
                <w:szCs w:val="20"/>
                <w:lang w:val="en-GB"/>
              </w:rPr>
              <w:t>Regenerative Economics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624E8694"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883E0E" w:rsidRPr="00821BA5">
              <w:rPr>
                <w:rFonts w:ascii="Times New Roman" w:hAnsi="Times New Roman" w:cs="Times New Roman"/>
                <w:sz w:val="20"/>
                <w:szCs w:val="20"/>
                <w:lang w:val="en-GB"/>
              </w:rPr>
              <w:t xml:space="preserve">Marija Petrović-Ranđelović, </w:t>
            </w:r>
            <w:r w:rsidR="00821BA5">
              <w:rPr>
                <w:rFonts w:ascii="Times New Roman" w:hAnsi="Times New Roman" w:cs="Times New Roman"/>
                <w:sz w:val="20"/>
                <w:szCs w:val="20"/>
                <w:lang w:val="en-GB"/>
              </w:rPr>
              <w:t xml:space="preserve">PhD; </w:t>
            </w:r>
            <w:r w:rsidR="00883E0E" w:rsidRPr="00821BA5">
              <w:rPr>
                <w:rFonts w:ascii="Times New Roman" w:hAnsi="Times New Roman" w:cs="Times New Roman"/>
                <w:sz w:val="20"/>
                <w:szCs w:val="20"/>
                <w:lang w:val="en-GB"/>
              </w:rPr>
              <w:t>Vladislav Marjanović</w:t>
            </w:r>
            <w:r w:rsidR="00821BA5">
              <w:rPr>
                <w:rFonts w:ascii="Times New Roman" w:hAnsi="Times New Roman" w:cs="Times New Roman"/>
                <w:sz w:val="20"/>
                <w:szCs w:val="20"/>
                <w:lang w:val="en-GB"/>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5B4A6F4B" w:rsidR="00641FAC" w:rsidRPr="00664504" w:rsidRDefault="00821BA5"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821BA5"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673BCDB7" w:rsidR="00821BA5" w:rsidRPr="00664504" w:rsidRDefault="00821BA5" w:rsidP="00821BA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821BA5"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1C2BEA4A" w:rsidR="00821BA5" w:rsidRPr="00664504" w:rsidRDefault="00821BA5" w:rsidP="00821BA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821BA5"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C50A794" w14:textId="77777777" w:rsidR="00821BA5" w:rsidRPr="00443D85" w:rsidRDefault="00821BA5" w:rsidP="00821BA5">
            <w:pPr>
              <w:tabs>
                <w:tab w:val="left" w:pos="567"/>
              </w:tabs>
              <w:spacing w:before="60" w:after="60"/>
              <w:rPr>
                <w:b/>
                <w:bCs/>
                <w:sz w:val="20"/>
                <w:szCs w:val="20"/>
                <w:lang w:val="en-GB"/>
              </w:rPr>
            </w:pPr>
            <w:r w:rsidRPr="00443D85">
              <w:rPr>
                <w:b/>
                <w:bCs/>
                <w:sz w:val="20"/>
                <w:szCs w:val="20"/>
                <w:lang w:val="en-GB"/>
              </w:rPr>
              <w:t>Course Objectives</w:t>
            </w:r>
          </w:p>
          <w:p w14:paraId="7C7693DF" w14:textId="69B40D75" w:rsidR="00821BA5" w:rsidRPr="008224D9" w:rsidRDefault="00821BA5" w:rsidP="00821BA5">
            <w:pPr>
              <w:pStyle w:val="Body"/>
              <w:tabs>
                <w:tab w:val="left" w:pos="567"/>
              </w:tabs>
              <w:spacing w:before="60" w:after="60"/>
              <w:jc w:val="both"/>
              <w:rPr>
                <w:rFonts w:ascii="Times New Roman" w:hAnsi="Times New Roman" w:cs="Times New Roman"/>
                <w:sz w:val="20"/>
                <w:szCs w:val="20"/>
                <w:lang w:val="sr-Cyrl-RS"/>
              </w:rPr>
            </w:pPr>
            <w:r w:rsidRPr="008224D9">
              <w:rPr>
                <w:rFonts w:ascii="Times New Roman" w:hAnsi="Times New Roman" w:cs="Times New Roman"/>
                <w:sz w:val="20"/>
                <w:szCs w:val="20"/>
                <w:lang w:val="en-GB"/>
              </w:rPr>
              <w:t>The aim of the course is to enable students to understand the economy as an integral part of a complex socio-ecological system and to introduce them to the theoretical and practical foundations of regenerative economics as a contemporary development paradigm. Particular attention is given to understanding the interdependence of economic activities, natural capital, and social processes, as well as the role of the circular economy as a foundation for understanding the regenerative approach.</w:t>
            </w:r>
            <w:r>
              <w:rPr>
                <w:rFonts w:ascii="Times New Roman" w:hAnsi="Times New Roman" w:cs="Times New Roman"/>
                <w:sz w:val="20"/>
                <w:szCs w:val="20"/>
                <w:lang w:val="sr-Cyrl-RS"/>
              </w:rPr>
              <w:t xml:space="preserve"> </w:t>
            </w:r>
            <w:r w:rsidRPr="008224D9">
              <w:rPr>
                <w:rFonts w:ascii="Times New Roman" w:hAnsi="Times New Roman" w:cs="Times New Roman"/>
                <w:sz w:val="20"/>
                <w:szCs w:val="20"/>
                <w:lang w:val="en-GB"/>
              </w:rPr>
              <w:t>The course is focused on developing systems thinking and critical thinking skills, as well as equipping students with the ability to analyse, evaluate, and design economic, business, and public policy solutions in accordance with the principles of regenerative economics. Through the integration of theoretical knowledge, case studies, and contemporary approaches, students acquire the ability to identify and apply regenerative models across different sectors.</w:t>
            </w:r>
            <w:r>
              <w:rPr>
                <w:rFonts w:ascii="Times New Roman" w:hAnsi="Times New Roman" w:cs="Times New Roman"/>
                <w:sz w:val="20"/>
                <w:szCs w:val="20"/>
                <w:lang w:val="sr-Cyrl-RS"/>
              </w:rPr>
              <w:t xml:space="preserve"> </w:t>
            </w:r>
            <w:r w:rsidRPr="008224D9">
              <w:rPr>
                <w:rFonts w:ascii="Times New Roman" w:hAnsi="Times New Roman" w:cs="Times New Roman"/>
                <w:sz w:val="20"/>
                <w:szCs w:val="20"/>
                <w:lang w:val="en-GB"/>
              </w:rPr>
              <w:t>As an emerging academic discipline, the course promotes an interdisciplinary approach to understanding the complex relationships between economic, ecological, and social systems, as well as the critical reassessment of existing development paradigms.</w:t>
            </w:r>
          </w:p>
        </w:tc>
      </w:tr>
      <w:tr w:rsidR="00821BA5" w:rsidRPr="00821BA5"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1A50057" w14:textId="77777777" w:rsidR="00821BA5" w:rsidRPr="00443D85" w:rsidRDefault="00821BA5" w:rsidP="00821BA5">
            <w:pPr>
              <w:tabs>
                <w:tab w:val="left" w:pos="567"/>
              </w:tabs>
              <w:spacing w:before="60" w:after="60"/>
              <w:rPr>
                <w:b/>
                <w:bCs/>
                <w:sz w:val="20"/>
                <w:szCs w:val="20"/>
                <w:lang w:val="en-GB"/>
              </w:rPr>
            </w:pPr>
            <w:r w:rsidRPr="00443D85">
              <w:rPr>
                <w:b/>
                <w:bCs/>
                <w:sz w:val="20"/>
                <w:szCs w:val="20"/>
                <w:lang w:val="en-GB"/>
              </w:rPr>
              <w:t>Learning Outcomes</w:t>
            </w:r>
          </w:p>
          <w:p w14:paraId="6E2CBBF9" w14:textId="6814EDAC" w:rsidR="00821BA5" w:rsidRPr="00CC1C7B" w:rsidRDefault="00821BA5" w:rsidP="00821BA5">
            <w:pPr>
              <w:tabs>
                <w:tab w:val="left" w:pos="567"/>
              </w:tabs>
              <w:spacing w:before="60" w:after="60"/>
              <w:rPr>
                <w:sz w:val="20"/>
                <w:szCs w:val="20"/>
                <w:lang w:val="sr-Cyrl-RS"/>
              </w:rPr>
            </w:pPr>
            <w:r w:rsidRPr="00CC1C7B">
              <w:rPr>
                <w:sz w:val="20"/>
                <w:szCs w:val="20"/>
                <w:lang w:val="sr-Cyrl-RS"/>
              </w:rPr>
              <w:t>Upon completion of the course, students acquire the following knowledge, skills, and competencies:</w:t>
            </w:r>
          </w:p>
          <w:p w14:paraId="278F477D" w14:textId="28DF2906" w:rsidR="00821BA5" w:rsidRPr="00883E0E" w:rsidRDefault="00821BA5" w:rsidP="00821BA5">
            <w:pPr>
              <w:tabs>
                <w:tab w:val="left" w:pos="567"/>
              </w:tabs>
              <w:spacing w:before="120" w:after="60"/>
              <w:jc w:val="both"/>
              <w:rPr>
                <w:b/>
                <w:sz w:val="20"/>
                <w:szCs w:val="20"/>
                <w:lang w:val="en-GB"/>
              </w:rPr>
            </w:pPr>
            <w:r>
              <w:rPr>
                <w:b/>
                <w:sz w:val="20"/>
                <w:szCs w:val="20"/>
                <w:lang w:val="sr-Cyrl-RS"/>
              </w:rPr>
              <w:t xml:space="preserve">О1. </w:t>
            </w:r>
            <w:r w:rsidRPr="00883E0E">
              <w:rPr>
                <w:b/>
                <w:sz w:val="20"/>
                <w:szCs w:val="20"/>
                <w:lang w:val="en-GB"/>
              </w:rPr>
              <w:t>Knowledge and Understanding</w:t>
            </w:r>
          </w:p>
          <w:p w14:paraId="40EB511A" w14:textId="43161774" w:rsidR="00821BA5" w:rsidRDefault="00821BA5" w:rsidP="00821BA5">
            <w:pPr>
              <w:tabs>
                <w:tab w:val="left" w:pos="567"/>
              </w:tabs>
              <w:spacing w:before="120" w:after="60"/>
              <w:jc w:val="both"/>
              <w:rPr>
                <w:bCs/>
                <w:sz w:val="20"/>
                <w:szCs w:val="20"/>
                <w:lang w:val="sr-Cyrl-RS"/>
              </w:rPr>
            </w:pPr>
            <w:r w:rsidRPr="008224D9">
              <w:rPr>
                <w:bCs/>
                <w:sz w:val="20"/>
                <w:szCs w:val="20"/>
                <w:lang w:val="sr-Cyrl-RS"/>
              </w:rPr>
              <w:t>Students will acquire knowledge of the key concepts and theoretical foundations of regenerative economics. They will understand the economy as part of a complex adaptive system, as well as the importance of planetary boundaries and biophysical limits. Students will gain knowledge of natural capital and ecosystem services, as well as the principles of circular and regenerative economics and system resilience.</w:t>
            </w:r>
            <w:r>
              <w:rPr>
                <w:bCs/>
                <w:sz w:val="20"/>
                <w:szCs w:val="20"/>
                <w:lang w:val="sr-Cyrl-RS"/>
              </w:rPr>
              <w:t xml:space="preserve"> </w:t>
            </w:r>
            <w:r w:rsidRPr="008224D9">
              <w:rPr>
                <w:bCs/>
                <w:sz w:val="20"/>
                <w:szCs w:val="20"/>
                <w:lang w:val="sr-Cyrl-RS"/>
              </w:rPr>
              <w:t>In particular, they will understand the role of regenerative production systems and agriculture, business models in the context of industrial transformation, financial systems and capital allocation, technological innovations, and public policies in the process of transition towards a regenerative economy, as well as the methodological and analytical approaches to its measurement</w:t>
            </w:r>
            <w:r>
              <w:rPr>
                <w:bCs/>
                <w:sz w:val="20"/>
                <w:szCs w:val="20"/>
                <w:lang w:val="sr-Cyrl-RS"/>
              </w:rPr>
              <w:t>.</w:t>
            </w:r>
          </w:p>
          <w:p w14:paraId="4DBC819A" w14:textId="179460B3" w:rsidR="00821BA5" w:rsidRPr="00883E0E" w:rsidRDefault="00821BA5" w:rsidP="00821BA5">
            <w:pPr>
              <w:tabs>
                <w:tab w:val="left" w:pos="567"/>
              </w:tabs>
              <w:spacing w:before="120" w:after="60"/>
              <w:jc w:val="both"/>
              <w:rPr>
                <w:b/>
                <w:sz w:val="20"/>
                <w:szCs w:val="20"/>
                <w:lang w:val="sr-Cyrl-RS"/>
              </w:rPr>
            </w:pPr>
            <w:r>
              <w:rPr>
                <w:b/>
                <w:sz w:val="20"/>
                <w:szCs w:val="20"/>
                <w:lang w:val="sr-Cyrl-RS"/>
              </w:rPr>
              <w:t xml:space="preserve">О2. </w:t>
            </w:r>
            <w:r w:rsidRPr="00883E0E">
              <w:rPr>
                <w:b/>
                <w:sz w:val="20"/>
                <w:szCs w:val="20"/>
                <w:lang w:val="sr-Cyrl-RS"/>
              </w:rPr>
              <w:t>Application of Knowledge and Understanding</w:t>
            </w:r>
          </w:p>
          <w:p w14:paraId="3B1E245B" w14:textId="1D93E63D" w:rsidR="00821BA5" w:rsidRPr="00883E0E" w:rsidRDefault="00821BA5" w:rsidP="00821BA5">
            <w:pPr>
              <w:tabs>
                <w:tab w:val="left" w:pos="567"/>
              </w:tabs>
              <w:spacing w:before="120" w:after="60"/>
              <w:jc w:val="both"/>
              <w:rPr>
                <w:bCs/>
                <w:sz w:val="20"/>
                <w:szCs w:val="20"/>
                <w:lang w:val="sr-Cyrl-RS"/>
              </w:rPr>
            </w:pPr>
            <w:r w:rsidRPr="008224D9">
              <w:rPr>
                <w:bCs/>
                <w:sz w:val="20"/>
                <w:szCs w:val="20"/>
                <w:lang w:val="sr-Cyrl-RS"/>
              </w:rPr>
              <w:t>Students will develop the ability to apply acquired knowledge in the analysis of economic systems and the assessment of their alignment with the principles of regenerative economics. They will be equipped to use a systems approach in addressing complex problems, to analyze circular and regenerative business models, and to propose measures and strategies for advancing regenerative processes across different sectors.</w:t>
            </w:r>
            <w:r>
              <w:rPr>
                <w:bCs/>
                <w:sz w:val="20"/>
                <w:szCs w:val="20"/>
                <w:lang w:val="sr-Cyrl-RS"/>
              </w:rPr>
              <w:t xml:space="preserve"> </w:t>
            </w:r>
            <w:r w:rsidRPr="008224D9">
              <w:rPr>
                <w:bCs/>
                <w:sz w:val="20"/>
                <w:szCs w:val="20"/>
                <w:lang w:val="sr-Cyrl-RS"/>
              </w:rPr>
              <w:t>Particular emphasis will be placed on the application of analytical and methodological frameworks for measuring and assessing the level of regenerativity of economic systems</w:t>
            </w:r>
            <w:r w:rsidRPr="00903FAF">
              <w:rPr>
                <w:bCs/>
                <w:sz w:val="20"/>
                <w:szCs w:val="20"/>
                <w:lang w:val="sr-Cyrl-RS"/>
              </w:rPr>
              <w:t>.</w:t>
            </w:r>
          </w:p>
          <w:p w14:paraId="0B96FEE3" w14:textId="3F79AD81" w:rsidR="00821BA5" w:rsidRPr="00883E0E" w:rsidRDefault="00821BA5" w:rsidP="00821BA5">
            <w:pPr>
              <w:tabs>
                <w:tab w:val="left" w:pos="567"/>
              </w:tabs>
              <w:spacing w:before="120" w:after="60"/>
              <w:jc w:val="both"/>
              <w:rPr>
                <w:b/>
                <w:bCs/>
                <w:sz w:val="20"/>
                <w:szCs w:val="20"/>
                <w:lang w:val="sr-Cyrl-RS"/>
              </w:rPr>
            </w:pPr>
            <w:r>
              <w:rPr>
                <w:b/>
                <w:bCs/>
                <w:sz w:val="20"/>
                <w:szCs w:val="20"/>
                <w:lang w:val="sr-Cyrl-RS"/>
              </w:rPr>
              <w:t xml:space="preserve">О3. </w:t>
            </w:r>
            <w:r w:rsidRPr="00883E0E">
              <w:rPr>
                <w:b/>
                <w:bCs/>
                <w:sz w:val="20"/>
                <w:szCs w:val="20"/>
                <w:lang w:val="sr-Cyrl-RS"/>
              </w:rPr>
              <w:t>Judgement</w:t>
            </w:r>
          </w:p>
          <w:p w14:paraId="0D6A7177" w14:textId="4F97BEA3" w:rsidR="00821BA5" w:rsidRDefault="00821BA5" w:rsidP="00821BA5">
            <w:pPr>
              <w:tabs>
                <w:tab w:val="left" w:pos="567"/>
              </w:tabs>
              <w:spacing w:before="120" w:after="60"/>
              <w:jc w:val="both"/>
              <w:rPr>
                <w:sz w:val="20"/>
                <w:szCs w:val="20"/>
                <w:lang w:val="sr-Cyrl-RS"/>
              </w:rPr>
            </w:pPr>
            <w:r w:rsidRPr="008224D9">
              <w:rPr>
                <w:sz w:val="20"/>
                <w:szCs w:val="20"/>
                <w:lang w:val="sr-Cyrl-RS"/>
              </w:rPr>
              <w:t>Students will develop the ability to critically assess different economic approaches and policies from the perspective of environmental sustainability, social equity, and long-term regenerativity. They will be equipped to evaluate the limitations of existing economic models, as well as the impacts of economic activities on natural capital and ecosystems.</w:t>
            </w:r>
            <w:r>
              <w:rPr>
                <w:sz w:val="20"/>
                <w:szCs w:val="20"/>
                <w:lang w:val="sr-Cyrl-RS"/>
              </w:rPr>
              <w:t xml:space="preserve"> </w:t>
            </w:r>
            <w:r w:rsidRPr="008224D9">
              <w:rPr>
                <w:sz w:val="20"/>
                <w:szCs w:val="20"/>
                <w:lang w:val="sr-Cyrl-RS"/>
              </w:rPr>
              <w:t>Students will be able to formulate well-argued conclusions by integrating economic, environmental, and social dimensions, while also assessing risks, uncertainties, and the systemic implications of various development strategies and public policies</w:t>
            </w:r>
            <w:r>
              <w:rPr>
                <w:sz w:val="20"/>
                <w:szCs w:val="20"/>
                <w:lang w:val="sr-Cyrl-RS"/>
              </w:rPr>
              <w:t>.</w:t>
            </w:r>
          </w:p>
          <w:p w14:paraId="2BF68F90" w14:textId="0FD48E3B" w:rsidR="00821BA5" w:rsidRPr="00883E0E" w:rsidRDefault="00821BA5" w:rsidP="00821BA5">
            <w:pPr>
              <w:tabs>
                <w:tab w:val="left" w:pos="567"/>
              </w:tabs>
              <w:spacing w:before="120" w:after="60"/>
              <w:jc w:val="both"/>
              <w:rPr>
                <w:b/>
                <w:bCs/>
                <w:sz w:val="20"/>
                <w:szCs w:val="20"/>
                <w:lang w:val="sr-Cyrl-RS"/>
              </w:rPr>
            </w:pPr>
            <w:r>
              <w:rPr>
                <w:b/>
                <w:bCs/>
                <w:sz w:val="20"/>
                <w:szCs w:val="20"/>
                <w:lang w:val="sr-Cyrl-RS"/>
              </w:rPr>
              <w:t xml:space="preserve">О4. </w:t>
            </w:r>
            <w:r w:rsidRPr="00883E0E">
              <w:rPr>
                <w:b/>
                <w:bCs/>
                <w:sz w:val="20"/>
                <w:szCs w:val="20"/>
                <w:lang w:val="sr-Cyrl-RS"/>
              </w:rPr>
              <w:t>Communication Skills</w:t>
            </w:r>
          </w:p>
          <w:p w14:paraId="3CA8F080" w14:textId="3B8FC037" w:rsidR="00821BA5" w:rsidRDefault="00821BA5" w:rsidP="00821BA5">
            <w:pPr>
              <w:tabs>
                <w:tab w:val="left" w:pos="567"/>
              </w:tabs>
              <w:spacing w:before="120" w:after="60"/>
              <w:jc w:val="both"/>
              <w:rPr>
                <w:sz w:val="20"/>
                <w:szCs w:val="20"/>
                <w:lang w:val="sr-Cyrl-RS"/>
              </w:rPr>
            </w:pPr>
            <w:r w:rsidRPr="008224D9">
              <w:rPr>
                <w:sz w:val="20"/>
                <w:szCs w:val="20"/>
                <w:lang w:val="sr-Cyrl-RS"/>
              </w:rPr>
              <w:t>Students will develop the ability to clearly and effectively communicate economic and systemic issues, as well as to present the results of analyses and projects in both oral and written forms. During the course, they will enhance their skills in participating in academic and professional discussions and acquire appropriate terminology in the field of regenerative economics, along with the ability to clearly and adaptively communicate complex concepts to different target audiences</w:t>
            </w:r>
            <w:r>
              <w:rPr>
                <w:sz w:val="20"/>
                <w:szCs w:val="20"/>
                <w:lang w:val="sr-Cyrl-RS"/>
              </w:rPr>
              <w:t>.</w:t>
            </w:r>
          </w:p>
          <w:p w14:paraId="2F707911" w14:textId="04A4CBC9" w:rsidR="00821BA5" w:rsidRPr="00883E0E" w:rsidRDefault="00821BA5" w:rsidP="00821BA5">
            <w:pPr>
              <w:tabs>
                <w:tab w:val="left" w:pos="567"/>
              </w:tabs>
              <w:spacing w:before="120" w:after="60"/>
              <w:jc w:val="both"/>
              <w:rPr>
                <w:b/>
                <w:bCs/>
                <w:sz w:val="20"/>
                <w:szCs w:val="20"/>
                <w:lang w:val="sr-Cyrl-RS"/>
              </w:rPr>
            </w:pPr>
            <w:r>
              <w:rPr>
                <w:b/>
                <w:bCs/>
                <w:sz w:val="20"/>
                <w:szCs w:val="20"/>
                <w:lang w:val="sr-Cyrl-RS"/>
              </w:rPr>
              <w:t xml:space="preserve">О5. </w:t>
            </w:r>
            <w:r w:rsidRPr="00883E0E">
              <w:rPr>
                <w:b/>
                <w:bCs/>
                <w:sz w:val="20"/>
                <w:szCs w:val="20"/>
                <w:lang w:val="sr-Cyrl-RS"/>
              </w:rPr>
              <w:t>Learning Skills</w:t>
            </w:r>
          </w:p>
          <w:p w14:paraId="2C94F2F0" w14:textId="37E394D2" w:rsidR="00821BA5" w:rsidRPr="00903FAF" w:rsidRDefault="00821BA5" w:rsidP="00821BA5">
            <w:pPr>
              <w:tabs>
                <w:tab w:val="left" w:pos="567"/>
              </w:tabs>
              <w:spacing w:before="120" w:after="60"/>
              <w:jc w:val="both"/>
              <w:rPr>
                <w:sz w:val="20"/>
                <w:szCs w:val="20"/>
                <w:lang w:val="sr-Cyrl-RS"/>
              </w:rPr>
            </w:pPr>
            <w:r w:rsidRPr="008224D9">
              <w:rPr>
                <w:sz w:val="20"/>
                <w:szCs w:val="20"/>
                <w:lang w:val="sr-Cyrl-RS"/>
              </w:rPr>
              <w:t>Студенти ће развити способност самосталног истраживања и коришћења релевантне научне и стручне литературе, као и интердисциплинарног приступа учењу. Посебно, унапређење аналитичких и критичких способности омогућиће им континуирано усавршавање у области регенеративне економије</w:t>
            </w:r>
            <w:r>
              <w:rPr>
                <w:sz w:val="20"/>
                <w:szCs w:val="20"/>
                <w:lang w:val="sr-Cyrl-RS"/>
              </w:rPr>
              <w:t>.</w:t>
            </w:r>
          </w:p>
        </w:tc>
      </w:tr>
      <w:tr w:rsidR="00821BA5"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31FA0EA" w14:textId="77777777" w:rsidR="00821BA5" w:rsidRPr="00443D85" w:rsidRDefault="00821BA5" w:rsidP="00821BA5">
            <w:pPr>
              <w:tabs>
                <w:tab w:val="left" w:pos="567"/>
              </w:tabs>
              <w:spacing w:before="60" w:after="60"/>
              <w:rPr>
                <w:b/>
                <w:bCs/>
                <w:sz w:val="20"/>
                <w:szCs w:val="20"/>
                <w:lang w:val="en-GB"/>
              </w:rPr>
            </w:pPr>
            <w:r w:rsidRPr="00443D85">
              <w:rPr>
                <w:b/>
                <w:bCs/>
                <w:sz w:val="20"/>
                <w:szCs w:val="20"/>
                <w:lang w:val="en-GB"/>
              </w:rPr>
              <w:t>Course Content</w:t>
            </w:r>
          </w:p>
          <w:p w14:paraId="6F6CD4F9" w14:textId="77777777" w:rsidR="00821BA5" w:rsidRPr="00FC606E" w:rsidRDefault="00821BA5" w:rsidP="00821BA5">
            <w:pPr>
              <w:tabs>
                <w:tab w:val="left" w:pos="567"/>
              </w:tabs>
              <w:spacing w:before="60" w:after="60"/>
              <w:rPr>
                <w:bCs/>
                <w:i/>
                <w:iCs/>
                <w:sz w:val="20"/>
                <w:szCs w:val="20"/>
                <w:lang w:val="en-GB"/>
              </w:rPr>
            </w:pPr>
            <w:r w:rsidRPr="00FC606E">
              <w:rPr>
                <w:bCs/>
                <w:i/>
                <w:iCs/>
                <w:sz w:val="20"/>
                <w:szCs w:val="20"/>
                <w:lang w:val="en-GB"/>
              </w:rPr>
              <w:t>Theoretical Classes</w:t>
            </w:r>
          </w:p>
          <w:p w14:paraId="0DB6A928" w14:textId="7745B74B"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Introduction to regenerative economics: concept and paradigm development</w:t>
            </w:r>
          </w:p>
          <w:p w14:paraId="3384289E" w14:textId="3413D70A"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Planetary boundaries and biophysical limits of the economic system</w:t>
            </w:r>
          </w:p>
          <w:p w14:paraId="7016FB01" w14:textId="03A62E73"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The economy as a complex adaptive system</w:t>
            </w:r>
          </w:p>
          <w:p w14:paraId="3CA84BC0" w14:textId="47F7283B"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lastRenderedPageBreak/>
              <w:t>Natural capital and ecosystem services in the economic system</w:t>
            </w:r>
          </w:p>
          <w:p w14:paraId="1F6EDE4B" w14:textId="7BE08395"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Circular economy: principles, models, and limitations</w:t>
            </w:r>
          </w:p>
          <w:p w14:paraId="7B52990B" w14:textId="73E10A98"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Principles of regenerative economics and system resilience</w:t>
            </w:r>
          </w:p>
          <w:p w14:paraId="2AC624DF" w14:textId="585258AD"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Regenerative production systems and agriculture</w:t>
            </w:r>
          </w:p>
          <w:p w14:paraId="0E814BD1" w14:textId="06DB451F"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Regenerative business models in the context of industrial transformation</w:t>
            </w:r>
          </w:p>
          <w:p w14:paraId="11464B5F" w14:textId="407B4209"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Financial systems and capital allocation in regenerative economics</w:t>
            </w:r>
          </w:p>
          <w:p w14:paraId="50C64910" w14:textId="049B8E35"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 xml:space="preserve">Technological innovations in the function of regenerative transformation </w:t>
            </w:r>
          </w:p>
          <w:p w14:paraId="61EDC493" w14:textId="674148E6"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Public policies and institutional framework for the transition to regenerative economics</w:t>
            </w:r>
          </w:p>
          <w:p w14:paraId="799B2C77" w14:textId="0364A830"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Social aspects of regenerative economics and just transition</w:t>
            </w:r>
          </w:p>
          <w:p w14:paraId="5105D51B" w14:textId="367168C5"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Methodological and analytical approaches to measuring regenerative economics</w:t>
            </w:r>
          </w:p>
          <w:p w14:paraId="67CD3AA8" w14:textId="50CA3C5B"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Design and evaluation of regenerative economic systems</w:t>
            </w:r>
          </w:p>
          <w:p w14:paraId="018799C4" w14:textId="621ABEEF" w:rsidR="00821BA5" w:rsidRPr="00CB6A14" w:rsidRDefault="00821BA5" w:rsidP="00821BA5">
            <w:pPr>
              <w:pStyle w:val="ListParagraph"/>
              <w:numPr>
                <w:ilvl w:val="0"/>
                <w:numId w:val="3"/>
              </w:numPr>
              <w:tabs>
                <w:tab w:val="left" w:pos="567"/>
              </w:tabs>
              <w:ind w:left="714" w:hanging="357"/>
              <w:jc w:val="both"/>
              <w:rPr>
                <w:rFonts w:ascii="Times New Roman" w:hAnsi="Times New Roman" w:cs="Times New Roman"/>
                <w:bCs/>
                <w:iCs/>
                <w:sz w:val="20"/>
                <w:szCs w:val="20"/>
                <w:lang w:val="en-GB"/>
              </w:rPr>
            </w:pPr>
            <w:r w:rsidRPr="00CB6A14">
              <w:rPr>
                <w:rFonts w:ascii="Times New Roman" w:hAnsi="Times New Roman" w:cs="Times New Roman"/>
                <w:bCs/>
                <w:iCs/>
                <w:sz w:val="20"/>
                <w:szCs w:val="20"/>
                <w:lang w:val="en-GB"/>
              </w:rPr>
              <w:t>Case studies and future directions of regenerative economics</w:t>
            </w:r>
          </w:p>
          <w:p w14:paraId="31EE0ACA" w14:textId="77777777" w:rsidR="00821BA5" w:rsidRPr="00B40F3B" w:rsidRDefault="00821BA5" w:rsidP="00821BA5">
            <w:pPr>
              <w:tabs>
                <w:tab w:val="left" w:pos="567"/>
              </w:tabs>
              <w:jc w:val="both"/>
              <w:rPr>
                <w:i/>
                <w:sz w:val="10"/>
                <w:szCs w:val="10"/>
                <w:lang w:val="en-GB"/>
              </w:rPr>
            </w:pPr>
          </w:p>
          <w:p w14:paraId="727CF640" w14:textId="77777777" w:rsidR="00821BA5" w:rsidRPr="00FC606E" w:rsidRDefault="00821BA5" w:rsidP="00821BA5">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12C57624" w:rsidR="00821BA5" w:rsidRPr="00CB6A14" w:rsidRDefault="00821BA5" w:rsidP="00821BA5">
            <w:pPr>
              <w:tabs>
                <w:tab w:val="left" w:pos="567"/>
              </w:tabs>
              <w:spacing w:before="60" w:after="60"/>
              <w:jc w:val="both"/>
              <w:rPr>
                <w:sz w:val="20"/>
                <w:szCs w:val="20"/>
                <w:lang w:val="en-GB"/>
              </w:rPr>
            </w:pPr>
            <w:r w:rsidRPr="00CB6A14">
              <w:rPr>
                <w:iCs/>
                <w:sz w:val="20"/>
                <w:szCs w:val="20"/>
                <w:lang w:val="en-GB"/>
              </w:rPr>
              <w:t xml:space="preserve">Practical teaching aims to enable students to apply their knowledge in identifying, analysing, and improving economic systems in accordance with the principles of regenerative economics, including: (1) </w:t>
            </w:r>
            <w:r w:rsidRPr="00CB6A14">
              <w:rPr>
                <w:b/>
                <w:bCs/>
                <w:iCs/>
                <w:sz w:val="20"/>
                <w:szCs w:val="20"/>
                <w:lang w:val="en-GB"/>
              </w:rPr>
              <w:t>work on case studies</w:t>
            </w:r>
            <w:r w:rsidRPr="00CB6A14">
              <w:rPr>
                <w:iCs/>
                <w:sz w:val="20"/>
                <w:szCs w:val="20"/>
                <w:lang w:val="en-GB"/>
              </w:rPr>
              <w:t xml:space="preserve"> aimed at analysing regenerative economic models across different sectors; (2) </w:t>
            </w:r>
            <w:r w:rsidRPr="00CB6A14">
              <w:rPr>
                <w:b/>
                <w:bCs/>
                <w:iCs/>
                <w:sz w:val="20"/>
                <w:szCs w:val="20"/>
                <w:lang w:val="en-GB"/>
              </w:rPr>
              <w:t>individual and group work on projects</w:t>
            </w:r>
            <w:r w:rsidRPr="00CB6A14">
              <w:rPr>
                <w:iCs/>
                <w:sz w:val="20"/>
                <w:szCs w:val="20"/>
                <w:lang w:val="en-GB"/>
              </w:rPr>
              <w:t xml:space="preserve"> involving the analysis of existing economic systems and the development of proposals for their regenerative transformation; (3) </w:t>
            </w:r>
            <w:r w:rsidRPr="00CB6A14">
              <w:rPr>
                <w:b/>
                <w:bCs/>
                <w:iCs/>
                <w:sz w:val="20"/>
                <w:szCs w:val="20"/>
                <w:lang w:val="en-GB"/>
              </w:rPr>
              <w:t>the application of a systems approach in the analysis</w:t>
            </w:r>
            <w:r w:rsidRPr="00CB6A14">
              <w:rPr>
                <w:iCs/>
                <w:sz w:val="20"/>
                <w:szCs w:val="20"/>
                <w:lang w:val="en-GB"/>
              </w:rPr>
              <w:t xml:space="preserve"> of economic processes and the identification of resource flows; (4) </w:t>
            </w:r>
            <w:r w:rsidRPr="00CB6A14">
              <w:rPr>
                <w:b/>
                <w:bCs/>
                <w:iCs/>
                <w:sz w:val="20"/>
                <w:szCs w:val="20"/>
                <w:lang w:val="en-GB"/>
              </w:rPr>
              <w:t>the assessment of the impact of economic activities</w:t>
            </w:r>
            <w:r w:rsidRPr="00CB6A14">
              <w:rPr>
                <w:iCs/>
                <w:sz w:val="20"/>
                <w:szCs w:val="20"/>
                <w:lang w:val="en-GB"/>
              </w:rPr>
              <w:t xml:space="preserve"> on natural capital and the use of relevant sustainability indicators; and (5) </w:t>
            </w:r>
            <w:r w:rsidRPr="00CB6A14">
              <w:rPr>
                <w:b/>
                <w:bCs/>
                <w:iCs/>
                <w:sz w:val="20"/>
                <w:szCs w:val="20"/>
                <w:lang w:val="en-GB"/>
              </w:rPr>
              <w:t>the presentation</w:t>
            </w:r>
            <w:r w:rsidRPr="00CB6A14">
              <w:rPr>
                <w:iCs/>
                <w:sz w:val="20"/>
                <w:szCs w:val="20"/>
                <w:lang w:val="en-GB"/>
              </w:rPr>
              <w:t xml:space="preserve"> of results, discussion, and well-argued justification of the proposed solutions.</w:t>
            </w:r>
          </w:p>
        </w:tc>
      </w:tr>
      <w:tr w:rsidR="00821BA5"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821BA5" w:rsidRPr="00664504" w:rsidRDefault="00821BA5" w:rsidP="00821BA5">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lastRenderedPageBreak/>
              <w:t>Literature</w:t>
            </w:r>
          </w:p>
          <w:p w14:paraId="3F54909E" w14:textId="790C03EC" w:rsidR="00821BA5" w:rsidRPr="00664504" w:rsidRDefault="00821BA5" w:rsidP="00821BA5">
            <w:pPr>
              <w:pStyle w:val="NormalWeb"/>
              <w:spacing w:before="20" w:beforeAutospacing="0" w:after="20" w:afterAutospacing="0"/>
              <w:jc w:val="both"/>
              <w:rPr>
                <w:bCs/>
                <w:sz w:val="20"/>
                <w:szCs w:val="20"/>
                <w:lang w:val="en-GB"/>
              </w:rPr>
            </w:pPr>
            <w:r w:rsidRPr="00747228">
              <w:rPr>
                <w:bCs/>
                <w:sz w:val="20"/>
                <w:szCs w:val="20"/>
                <w:lang w:val="en-GB"/>
              </w:rPr>
              <w:t xml:space="preserve">Jovanović, S., Radukić, S., Petrović-Ranđelović, M. (2011). </w:t>
            </w:r>
            <w:r w:rsidRPr="00747228">
              <w:rPr>
                <w:bCs/>
                <w:i/>
                <w:iCs/>
                <w:sz w:val="20"/>
                <w:szCs w:val="20"/>
                <w:lang w:val="en-GB"/>
              </w:rPr>
              <w:t>Teorijski i institucionalni okvir održivog razvoja (</w:t>
            </w:r>
            <w:r w:rsidRPr="00715F15">
              <w:rPr>
                <w:bCs/>
                <w:i/>
                <w:iCs/>
                <w:sz w:val="20"/>
                <w:szCs w:val="20"/>
                <w:lang w:val="en-GB"/>
              </w:rPr>
              <w:t>Theoretical and institutional framework of sustainable development</w:t>
            </w:r>
            <w:r w:rsidRPr="00747228">
              <w:rPr>
                <w:bCs/>
                <w:i/>
                <w:iCs/>
                <w:sz w:val="20"/>
                <w:szCs w:val="20"/>
                <w:lang w:val="en-GB"/>
              </w:rPr>
              <w:t>)</w:t>
            </w:r>
            <w:r w:rsidRPr="00747228">
              <w:rPr>
                <w:bCs/>
                <w:sz w:val="20"/>
                <w:szCs w:val="20"/>
                <w:lang w:val="en-GB"/>
              </w:rPr>
              <w:t>. Faculty of Economics, University of Niš</w:t>
            </w:r>
            <w:r>
              <w:rPr>
                <w:bCs/>
                <w:sz w:val="20"/>
                <w:szCs w:val="20"/>
                <w:lang w:val="en-GB"/>
              </w:rPr>
              <w:t>.</w:t>
            </w:r>
          </w:p>
          <w:p w14:paraId="554249E4" w14:textId="77777777" w:rsidR="00821BA5" w:rsidRPr="00747228" w:rsidRDefault="00821BA5" w:rsidP="00821BA5">
            <w:pPr>
              <w:pStyle w:val="NormalWeb"/>
              <w:spacing w:before="20" w:beforeAutospacing="0" w:after="20" w:afterAutospacing="0"/>
              <w:jc w:val="both"/>
              <w:rPr>
                <w:bCs/>
                <w:sz w:val="20"/>
                <w:szCs w:val="20"/>
                <w:lang w:val="en-GB"/>
              </w:rPr>
            </w:pPr>
            <w:r w:rsidRPr="00747228">
              <w:rPr>
                <w:bCs/>
                <w:sz w:val="20"/>
                <w:szCs w:val="20"/>
                <w:lang w:val="en-GB"/>
              </w:rPr>
              <w:t xml:space="preserve">Fullerton, J. (2025). </w:t>
            </w:r>
            <w:r w:rsidRPr="00747228">
              <w:rPr>
                <w:bCs/>
                <w:i/>
                <w:iCs/>
                <w:sz w:val="20"/>
                <w:szCs w:val="20"/>
                <w:lang w:val="en-GB"/>
              </w:rPr>
              <w:t>Regenerative economics: Revolutionary thinking for a world in crisis</w:t>
            </w:r>
            <w:r w:rsidRPr="00747228">
              <w:rPr>
                <w:bCs/>
                <w:sz w:val="20"/>
                <w:szCs w:val="20"/>
                <w:lang w:val="en-GB"/>
              </w:rPr>
              <w:t>. New Society Publishers.</w:t>
            </w:r>
          </w:p>
          <w:p w14:paraId="6B199162" w14:textId="77777777" w:rsidR="00821BA5" w:rsidRPr="00747228" w:rsidRDefault="00821BA5" w:rsidP="00821BA5">
            <w:pPr>
              <w:pStyle w:val="NormalWeb"/>
              <w:spacing w:before="20" w:beforeAutospacing="0" w:after="20" w:afterAutospacing="0"/>
              <w:jc w:val="both"/>
              <w:rPr>
                <w:bCs/>
                <w:sz w:val="20"/>
                <w:szCs w:val="20"/>
                <w:lang w:val="en-GB"/>
              </w:rPr>
            </w:pPr>
            <w:r w:rsidRPr="00747228">
              <w:rPr>
                <w:bCs/>
                <w:sz w:val="20"/>
                <w:szCs w:val="20"/>
                <w:lang w:val="en-GB"/>
              </w:rPr>
              <w:t xml:space="preserve">Raworth, K. (2017). </w:t>
            </w:r>
            <w:r w:rsidRPr="00747228">
              <w:rPr>
                <w:bCs/>
                <w:i/>
                <w:iCs/>
                <w:sz w:val="20"/>
                <w:szCs w:val="20"/>
                <w:lang w:val="en-GB"/>
              </w:rPr>
              <w:t>Doughnut economics: Seven ways to think like a 21st-century economist</w:t>
            </w:r>
            <w:r w:rsidRPr="00747228">
              <w:rPr>
                <w:bCs/>
                <w:sz w:val="20"/>
                <w:szCs w:val="20"/>
                <w:lang w:val="en-GB"/>
              </w:rPr>
              <w:t>. Chelsea Green Publishing.</w:t>
            </w:r>
          </w:p>
          <w:p w14:paraId="7CE9ADFF" w14:textId="66C537E1" w:rsidR="00821BA5" w:rsidRPr="00664504" w:rsidRDefault="00821BA5" w:rsidP="00821BA5">
            <w:pPr>
              <w:pStyle w:val="NormalWeb"/>
              <w:spacing w:before="20" w:beforeAutospacing="0" w:after="20" w:afterAutospacing="0"/>
              <w:jc w:val="both"/>
              <w:rPr>
                <w:bCs/>
                <w:sz w:val="20"/>
                <w:szCs w:val="20"/>
                <w:lang w:val="en-GB"/>
              </w:rPr>
            </w:pPr>
            <w:r w:rsidRPr="00747228">
              <w:rPr>
                <w:bCs/>
                <w:sz w:val="20"/>
                <w:szCs w:val="20"/>
                <w:lang w:val="en-GB"/>
              </w:rPr>
              <w:t xml:space="preserve">Weetman, C. (2021). </w:t>
            </w:r>
            <w:r w:rsidRPr="00747228">
              <w:rPr>
                <w:bCs/>
                <w:i/>
                <w:iCs/>
                <w:sz w:val="20"/>
                <w:szCs w:val="20"/>
                <w:lang w:val="en-GB"/>
              </w:rPr>
              <w:t>A circular economy handbook: How to build a more resilient, competitive and sustainable business</w:t>
            </w:r>
            <w:r w:rsidRPr="00747228">
              <w:rPr>
                <w:bCs/>
                <w:sz w:val="20"/>
                <w:szCs w:val="20"/>
                <w:lang w:val="en-GB"/>
              </w:rPr>
              <w:t xml:space="preserve"> (2nd ed.). Kogan Page</w:t>
            </w:r>
            <w:r>
              <w:rPr>
                <w:bCs/>
                <w:sz w:val="20"/>
                <w:szCs w:val="20"/>
                <w:lang w:val="en-GB"/>
              </w:rPr>
              <w:t>.</w:t>
            </w:r>
          </w:p>
        </w:tc>
      </w:tr>
      <w:tr w:rsidR="00821BA5"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6D7650B6" w:rsidR="00821BA5" w:rsidRPr="00664504" w:rsidRDefault="00821BA5" w:rsidP="00821BA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69E8E970" w:rsidR="00821BA5" w:rsidRPr="00664504" w:rsidRDefault="00821BA5" w:rsidP="00821BA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52AE9FD8" w:rsidR="00821BA5" w:rsidRPr="00664504" w:rsidRDefault="00821BA5" w:rsidP="00821BA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821BA5"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53C86B3" w14:textId="77777777" w:rsidR="00FD3FA0" w:rsidRPr="00443D85" w:rsidRDefault="00FD3FA0" w:rsidP="00FD3FA0">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CF378CA" w14:textId="7673D30F" w:rsidR="00821BA5" w:rsidRPr="00903FAF" w:rsidRDefault="00821BA5" w:rsidP="00821BA5">
            <w:pPr>
              <w:pStyle w:val="Body"/>
              <w:tabs>
                <w:tab w:val="left" w:pos="567"/>
              </w:tabs>
              <w:spacing w:before="20" w:after="20"/>
              <w:jc w:val="both"/>
              <w:rPr>
                <w:rFonts w:ascii="Times New Roman" w:hAnsi="Times New Roman" w:cs="Times New Roman"/>
                <w:sz w:val="20"/>
                <w:szCs w:val="20"/>
                <w:lang w:val="en-GB"/>
              </w:rPr>
            </w:pPr>
            <w:r w:rsidRPr="00903FAF">
              <w:rPr>
                <w:rFonts w:ascii="Times New Roman" w:hAnsi="Times New Roman" w:cs="Times New Roman"/>
                <w:sz w:val="20"/>
                <w:szCs w:val="20"/>
                <w:lang w:val="en-GB"/>
              </w:rPr>
              <w:t>Teaching in this course is carried out through the application of various teaching methods that serve the achievement of the defined course learning outcomes (</w:t>
            </w:r>
            <w:r>
              <w:rPr>
                <w:rFonts w:ascii="Times New Roman" w:hAnsi="Times New Roman" w:cs="Times New Roman"/>
                <w:sz w:val="20"/>
                <w:szCs w:val="20"/>
                <w:lang w:val="sr-Cyrl-RS"/>
              </w:rPr>
              <w:t>О</w:t>
            </w:r>
            <w:r w:rsidRPr="00903FAF">
              <w:rPr>
                <w:rFonts w:ascii="Times New Roman" w:hAnsi="Times New Roman" w:cs="Times New Roman"/>
                <w:sz w:val="20"/>
                <w:szCs w:val="20"/>
                <w:lang w:val="en-GB"/>
              </w:rPr>
              <w:t>1–</w:t>
            </w:r>
            <w:r>
              <w:rPr>
                <w:rFonts w:ascii="Times New Roman" w:hAnsi="Times New Roman" w:cs="Times New Roman"/>
                <w:sz w:val="20"/>
                <w:szCs w:val="20"/>
                <w:lang w:val="sr-Cyrl-RS"/>
              </w:rPr>
              <w:t>О</w:t>
            </w:r>
            <w:r w:rsidRPr="00903FAF">
              <w:rPr>
                <w:rFonts w:ascii="Times New Roman" w:hAnsi="Times New Roman" w:cs="Times New Roman"/>
                <w:sz w:val="20"/>
                <w:szCs w:val="20"/>
                <w:lang w:val="en-GB"/>
              </w:rPr>
              <w:t>5).</w:t>
            </w:r>
          </w:p>
          <w:p w14:paraId="472D6AE3" w14:textId="494828B6" w:rsidR="00821BA5" w:rsidRPr="008224D9" w:rsidRDefault="00821BA5" w:rsidP="00821BA5">
            <w:pPr>
              <w:pStyle w:val="Body"/>
              <w:tabs>
                <w:tab w:val="left" w:pos="567"/>
              </w:tabs>
              <w:spacing w:before="20" w:after="20"/>
              <w:jc w:val="both"/>
              <w:rPr>
                <w:rFonts w:ascii="Times New Roman" w:hAnsi="Times New Roman" w:cs="Times New Roman"/>
                <w:sz w:val="20"/>
                <w:szCs w:val="20"/>
                <w:lang w:val="en-GB"/>
              </w:rPr>
            </w:pPr>
            <w:r w:rsidRPr="008224D9">
              <w:rPr>
                <w:rFonts w:ascii="Times New Roman" w:hAnsi="Times New Roman" w:cs="Times New Roman"/>
                <w:b/>
                <w:bCs/>
                <w:sz w:val="20"/>
                <w:szCs w:val="20"/>
                <w:lang w:val="en-GB"/>
              </w:rPr>
              <w:t xml:space="preserve">The monologic method </w:t>
            </w:r>
            <w:r w:rsidRPr="008224D9">
              <w:rPr>
                <w:rFonts w:ascii="Times New Roman" w:hAnsi="Times New Roman" w:cs="Times New Roman"/>
                <w:sz w:val="20"/>
                <w:szCs w:val="20"/>
                <w:lang w:val="en-GB"/>
              </w:rPr>
              <w:t xml:space="preserve">(M1) is implemented through lectures and enables students to acquire fundamental theoretical knowledge in the field of regenerative economics. It is associated with learning outcome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1.</w:t>
            </w:r>
          </w:p>
          <w:p w14:paraId="6EA47186" w14:textId="5A1D12CB" w:rsidR="00821BA5" w:rsidRPr="008224D9" w:rsidRDefault="00821BA5" w:rsidP="00821BA5">
            <w:pPr>
              <w:pStyle w:val="Body"/>
              <w:tabs>
                <w:tab w:val="left" w:pos="567"/>
              </w:tabs>
              <w:spacing w:before="20" w:after="20"/>
              <w:jc w:val="both"/>
              <w:rPr>
                <w:rFonts w:ascii="Times New Roman" w:hAnsi="Times New Roman" w:cs="Times New Roman"/>
                <w:sz w:val="20"/>
                <w:szCs w:val="20"/>
                <w:lang w:val="en-GB"/>
              </w:rPr>
            </w:pPr>
            <w:r w:rsidRPr="008224D9">
              <w:rPr>
                <w:rFonts w:ascii="Times New Roman" w:hAnsi="Times New Roman" w:cs="Times New Roman"/>
                <w:b/>
                <w:bCs/>
                <w:sz w:val="20"/>
                <w:szCs w:val="20"/>
                <w:lang w:val="en-GB"/>
              </w:rPr>
              <w:t xml:space="preserve">The dialogic method </w:t>
            </w:r>
            <w:r w:rsidRPr="008224D9">
              <w:rPr>
                <w:rFonts w:ascii="Times New Roman" w:hAnsi="Times New Roman" w:cs="Times New Roman"/>
                <w:sz w:val="20"/>
                <w:szCs w:val="20"/>
                <w:lang w:val="en-GB"/>
              </w:rPr>
              <w:t xml:space="preserve">(M2) is implemented through discussions and interactive activities, fostering the development of critical thinking and the ability to express arguments effectively. This method contributes to the achievement of learning outcomes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 xml:space="preserve">3 and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4.</w:t>
            </w:r>
          </w:p>
          <w:p w14:paraId="740274DD" w14:textId="75C4A6F2" w:rsidR="00821BA5" w:rsidRPr="008224D9" w:rsidRDefault="00821BA5" w:rsidP="00821BA5">
            <w:pPr>
              <w:pStyle w:val="Body"/>
              <w:tabs>
                <w:tab w:val="left" w:pos="567"/>
              </w:tabs>
              <w:spacing w:before="20" w:after="20"/>
              <w:jc w:val="both"/>
              <w:rPr>
                <w:rFonts w:ascii="Times New Roman" w:hAnsi="Times New Roman" w:cs="Times New Roman"/>
                <w:sz w:val="20"/>
                <w:szCs w:val="20"/>
                <w:lang w:val="en-GB"/>
              </w:rPr>
            </w:pPr>
            <w:r w:rsidRPr="008224D9">
              <w:rPr>
                <w:rFonts w:ascii="Times New Roman" w:hAnsi="Times New Roman" w:cs="Times New Roman"/>
                <w:b/>
                <w:bCs/>
                <w:sz w:val="20"/>
                <w:szCs w:val="20"/>
                <w:lang w:val="en-GB"/>
              </w:rPr>
              <w:t xml:space="preserve">The demonstration method (M3) </w:t>
            </w:r>
            <w:r w:rsidRPr="008224D9">
              <w:rPr>
                <w:rFonts w:ascii="Times New Roman" w:hAnsi="Times New Roman" w:cs="Times New Roman"/>
                <w:sz w:val="20"/>
                <w:szCs w:val="20"/>
                <w:lang w:val="en-GB"/>
              </w:rPr>
              <w:t xml:space="preserve">involves the use of presentations, models, and data analysis in order to connect theory and practice and to support understanding of approaches to measuring regenerative economics. It contributes to learning outcomes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 xml:space="preserve">1 and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2.</w:t>
            </w:r>
          </w:p>
          <w:p w14:paraId="43EB7255" w14:textId="5C7882C7" w:rsidR="00821BA5" w:rsidRPr="008224D9" w:rsidRDefault="00821BA5" w:rsidP="00821BA5">
            <w:pPr>
              <w:pStyle w:val="Body"/>
              <w:tabs>
                <w:tab w:val="left" w:pos="567"/>
              </w:tabs>
              <w:spacing w:before="20" w:after="20"/>
              <w:jc w:val="both"/>
              <w:rPr>
                <w:rFonts w:ascii="Times New Roman" w:hAnsi="Times New Roman" w:cs="Times New Roman"/>
                <w:sz w:val="20"/>
                <w:szCs w:val="20"/>
                <w:lang w:val="en-GB"/>
              </w:rPr>
            </w:pPr>
            <w:r w:rsidRPr="008224D9">
              <w:rPr>
                <w:rFonts w:ascii="Times New Roman" w:hAnsi="Times New Roman" w:cs="Times New Roman"/>
                <w:b/>
                <w:bCs/>
                <w:sz w:val="20"/>
                <w:szCs w:val="20"/>
                <w:lang w:val="en-GB"/>
              </w:rPr>
              <w:t xml:space="preserve">The research method </w:t>
            </w:r>
            <w:r w:rsidRPr="008224D9">
              <w:rPr>
                <w:rFonts w:ascii="Times New Roman" w:hAnsi="Times New Roman" w:cs="Times New Roman"/>
                <w:sz w:val="20"/>
                <w:szCs w:val="20"/>
                <w:lang w:val="en-GB"/>
              </w:rPr>
              <w:t xml:space="preserve">(M4) is implemented through project-based and analytical tasks, the application of indicators, and the evaluation of economic systems. It is linked to learning outcomes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 xml:space="preserve">2,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 xml:space="preserve">4, and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5.</w:t>
            </w:r>
          </w:p>
          <w:p w14:paraId="29A32C70" w14:textId="0177141E" w:rsidR="00821BA5" w:rsidRPr="008224D9" w:rsidRDefault="00821BA5" w:rsidP="00821BA5">
            <w:pPr>
              <w:pStyle w:val="Body"/>
              <w:tabs>
                <w:tab w:val="left" w:pos="567"/>
              </w:tabs>
              <w:spacing w:before="20" w:after="20"/>
              <w:jc w:val="both"/>
              <w:rPr>
                <w:rFonts w:ascii="Times New Roman" w:hAnsi="Times New Roman" w:cs="Times New Roman"/>
                <w:sz w:val="20"/>
                <w:szCs w:val="20"/>
                <w:lang w:val="sr-Cyrl-RS"/>
              </w:rPr>
            </w:pPr>
            <w:r w:rsidRPr="008224D9">
              <w:rPr>
                <w:rFonts w:ascii="Times New Roman" w:hAnsi="Times New Roman" w:cs="Times New Roman"/>
                <w:b/>
                <w:bCs/>
                <w:sz w:val="20"/>
                <w:szCs w:val="20"/>
                <w:lang w:val="en-GB"/>
              </w:rPr>
              <w:t xml:space="preserve">The case study method </w:t>
            </w:r>
            <w:r w:rsidRPr="008224D9">
              <w:rPr>
                <w:rFonts w:ascii="Times New Roman" w:hAnsi="Times New Roman" w:cs="Times New Roman"/>
                <w:sz w:val="20"/>
                <w:szCs w:val="20"/>
                <w:lang w:val="en-GB"/>
              </w:rPr>
              <w:t xml:space="preserve">(M5) is based on the analysis of concrete examples of regenerative models and policies, enabling the integration of theory and practice and the development of judgment and evaluation skills. It contributes to learning outcomes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 xml:space="preserve">2,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 xml:space="preserve">3, and </w:t>
            </w:r>
            <w:r>
              <w:rPr>
                <w:rFonts w:ascii="Times New Roman" w:hAnsi="Times New Roman" w:cs="Times New Roman"/>
                <w:sz w:val="20"/>
                <w:szCs w:val="20"/>
                <w:lang w:val="sr-Cyrl-RS"/>
              </w:rPr>
              <w:t>О</w:t>
            </w:r>
            <w:r w:rsidRPr="008224D9">
              <w:rPr>
                <w:rFonts w:ascii="Times New Roman" w:hAnsi="Times New Roman" w:cs="Times New Roman"/>
                <w:sz w:val="20"/>
                <w:szCs w:val="20"/>
                <w:lang w:val="en-GB"/>
              </w:rPr>
              <w:t>5.</w:t>
            </w:r>
          </w:p>
          <w:p w14:paraId="34E07410" w14:textId="7D0698B6" w:rsidR="00821BA5" w:rsidRPr="001875D4" w:rsidRDefault="00821BA5" w:rsidP="00821BA5">
            <w:pPr>
              <w:pStyle w:val="Body"/>
              <w:tabs>
                <w:tab w:val="left" w:pos="567"/>
              </w:tabs>
              <w:spacing w:before="60" w:after="60"/>
              <w:jc w:val="center"/>
              <w:rPr>
                <w:rFonts w:ascii="Times New Roman" w:hAnsi="Times New Roman" w:cs="Times New Roman"/>
                <w:i/>
                <w:iCs/>
                <w:sz w:val="20"/>
                <w:szCs w:val="20"/>
                <w:lang w:val="sr-Cyrl-RS"/>
              </w:rPr>
            </w:pPr>
            <w:r w:rsidRPr="001875D4">
              <w:rPr>
                <w:rFonts w:ascii="Times New Roman" w:hAnsi="Times New Roman" w:cs="Times New Roman"/>
                <w:i/>
                <w:iCs/>
                <w:sz w:val="20"/>
                <w:szCs w:val="20"/>
                <w:lang w:val="sr-Cyrl-RS"/>
              </w:rPr>
              <w:t>Alignment of Learning Outcomes, Teaching Methods and Assessment Methods</w:t>
            </w:r>
          </w:p>
          <w:tbl>
            <w:tblPr>
              <w:tblStyle w:val="TableGrid"/>
              <w:tblW w:w="0" w:type="auto"/>
              <w:jc w:val="center"/>
              <w:tblLook w:val="04A0" w:firstRow="1" w:lastRow="0" w:firstColumn="1" w:lastColumn="0" w:noHBand="0" w:noVBand="1"/>
            </w:tblPr>
            <w:tblGrid>
              <w:gridCol w:w="4171"/>
              <w:gridCol w:w="1711"/>
              <w:gridCol w:w="2882"/>
            </w:tblGrid>
            <w:tr w:rsidR="00821BA5" w:rsidRPr="006E1117" w14:paraId="6D45855F" w14:textId="77777777" w:rsidTr="00D10EF0">
              <w:trPr>
                <w:jc w:val="center"/>
              </w:trPr>
              <w:tc>
                <w:tcPr>
                  <w:tcW w:w="0" w:type="auto"/>
                  <w:hideMark/>
                </w:tcPr>
                <w:p w14:paraId="34EACD3C" w14:textId="15A2444D" w:rsidR="00821BA5" w:rsidRPr="006E1117" w:rsidRDefault="00821BA5" w:rsidP="00821BA5">
                  <w:pPr>
                    <w:jc w:val="center"/>
                    <w:rPr>
                      <w:rFonts w:ascii="Times New Roman" w:eastAsia="Times New Roman" w:hAnsi="Times New Roman" w:cs="Times New Roman"/>
                      <w:b/>
                      <w:bCs/>
                      <w:sz w:val="20"/>
                      <w:szCs w:val="20"/>
                    </w:rPr>
                  </w:pPr>
                  <w:r w:rsidRPr="006E1117">
                    <w:rPr>
                      <w:rFonts w:ascii="Times New Roman" w:hAnsi="Times New Roman" w:cs="Times New Roman"/>
                      <w:sz w:val="20"/>
                      <w:szCs w:val="20"/>
                    </w:rPr>
                    <w:t>Outcomes</w:t>
                  </w:r>
                </w:p>
              </w:tc>
              <w:tc>
                <w:tcPr>
                  <w:tcW w:w="0" w:type="auto"/>
                  <w:hideMark/>
                </w:tcPr>
                <w:p w14:paraId="2ED03C68" w14:textId="05BFDCBF" w:rsidR="00821BA5" w:rsidRPr="006E1117" w:rsidRDefault="00821BA5" w:rsidP="00821BA5">
                  <w:pPr>
                    <w:jc w:val="center"/>
                    <w:rPr>
                      <w:rFonts w:ascii="Times New Roman" w:eastAsia="Times New Roman" w:hAnsi="Times New Roman" w:cs="Times New Roman"/>
                      <w:b/>
                      <w:bCs/>
                      <w:sz w:val="20"/>
                      <w:szCs w:val="20"/>
                    </w:rPr>
                  </w:pPr>
                  <w:r w:rsidRPr="006E1117">
                    <w:rPr>
                      <w:rFonts w:ascii="Times New Roman" w:hAnsi="Times New Roman" w:cs="Times New Roman"/>
                      <w:sz w:val="20"/>
                      <w:szCs w:val="20"/>
                    </w:rPr>
                    <w:t>Teaching Methods</w:t>
                  </w:r>
                </w:p>
              </w:tc>
              <w:tc>
                <w:tcPr>
                  <w:tcW w:w="0" w:type="auto"/>
                  <w:hideMark/>
                </w:tcPr>
                <w:p w14:paraId="05AA31CF" w14:textId="66898BAF" w:rsidR="00821BA5" w:rsidRPr="006E1117" w:rsidRDefault="00821BA5" w:rsidP="00821BA5">
                  <w:pPr>
                    <w:jc w:val="center"/>
                    <w:rPr>
                      <w:rFonts w:ascii="Times New Roman" w:eastAsia="Times New Roman" w:hAnsi="Times New Roman" w:cs="Times New Roman"/>
                      <w:b/>
                      <w:bCs/>
                      <w:sz w:val="20"/>
                      <w:szCs w:val="20"/>
                    </w:rPr>
                  </w:pPr>
                  <w:r w:rsidRPr="006E1117">
                    <w:rPr>
                      <w:rFonts w:ascii="Times New Roman" w:hAnsi="Times New Roman" w:cs="Times New Roman"/>
                      <w:sz w:val="20"/>
                      <w:szCs w:val="20"/>
                    </w:rPr>
                    <w:t>Assessment Methods</w:t>
                  </w:r>
                </w:p>
              </w:tc>
            </w:tr>
            <w:tr w:rsidR="00821BA5" w:rsidRPr="006E1117" w14:paraId="5508823E" w14:textId="77777777" w:rsidTr="00D10EF0">
              <w:trPr>
                <w:jc w:val="center"/>
              </w:trPr>
              <w:tc>
                <w:tcPr>
                  <w:tcW w:w="0" w:type="auto"/>
                  <w:hideMark/>
                </w:tcPr>
                <w:p w14:paraId="1F1A900A" w14:textId="1150720C" w:rsidR="00821BA5" w:rsidRPr="006E1117" w:rsidRDefault="00821BA5" w:rsidP="00821BA5">
                  <w:pPr>
                    <w:rPr>
                      <w:rFonts w:ascii="Times New Roman" w:eastAsia="Times New Roman" w:hAnsi="Times New Roman" w:cs="Times New Roman"/>
                      <w:sz w:val="20"/>
                      <w:szCs w:val="20"/>
                    </w:rPr>
                  </w:pPr>
                  <w:r w:rsidRPr="006E1117">
                    <w:rPr>
                      <w:rFonts w:ascii="Times New Roman" w:hAnsi="Times New Roman" w:cs="Times New Roman"/>
                      <w:sz w:val="20"/>
                      <w:szCs w:val="20"/>
                    </w:rPr>
                    <w:t>О1. Knowledge and understanding</w:t>
                  </w:r>
                </w:p>
              </w:tc>
              <w:tc>
                <w:tcPr>
                  <w:tcW w:w="0" w:type="auto"/>
                  <w:hideMark/>
                </w:tcPr>
                <w:p w14:paraId="5914934B" w14:textId="77777777" w:rsidR="00821BA5" w:rsidRPr="006E1117" w:rsidRDefault="00821BA5" w:rsidP="00821BA5">
                  <w:pPr>
                    <w:rPr>
                      <w:rFonts w:ascii="Times New Roman" w:eastAsia="Times New Roman" w:hAnsi="Times New Roman" w:cs="Times New Roman"/>
                      <w:sz w:val="20"/>
                      <w:szCs w:val="20"/>
                    </w:rPr>
                  </w:pPr>
                  <w:r w:rsidRPr="006E1117">
                    <w:rPr>
                      <w:rFonts w:ascii="Times New Roman" w:eastAsia="Times New Roman" w:hAnsi="Times New Roman" w:cs="Times New Roman"/>
                      <w:sz w:val="20"/>
                      <w:szCs w:val="20"/>
                    </w:rPr>
                    <w:t>М1, М3</w:t>
                  </w:r>
                </w:p>
              </w:tc>
              <w:tc>
                <w:tcPr>
                  <w:tcW w:w="0" w:type="auto"/>
                  <w:hideMark/>
                </w:tcPr>
                <w:p w14:paraId="05637EEA" w14:textId="2109BBC3" w:rsidR="00821BA5" w:rsidRPr="006E1117" w:rsidRDefault="00821BA5" w:rsidP="00821BA5">
                  <w:pPr>
                    <w:rPr>
                      <w:rFonts w:ascii="Times New Roman" w:eastAsia="Times New Roman" w:hAnsi="Times New Roman" w:cs="Times New Roman"/>
                      <w:sz w:val="20"/>
                      <w:szCs w:val="20"/>
                    </w:rPr>
                  </w:pPr>
                  <w:r w:rsidRPr="006E1117">
                    <w:rPr>
                      <w:rFonts w:ascii="Times New Roman" w:hAnsi="Times New Roman" w:cs="Times New Roman"/>
                      <w:sz w:val="20"/>
                      <w:szCs w:val="20"/>
                    </w:rPr>
                    <w:t>Midterm exam, in-class activities</w:t>
                  </w:r>
                </w:p>
              </w:tc>
            </w:tr>
            <w:tr w:rsidR="00821BA5" w:rsidRPr="006E1117" w14:paraId="5068B758" w14:textId="77777777" w:rsidTr="00D10EF0">
              <w:trPr>
                <w:jc w:val="center"/>
              </w:trPr>
              <w:tc>
                <w:tcPr>
                  <w:tcW w:w="0" w:type="auto"/>
                  <w:hideMark/>
                </w:tcPr>
                <w:p w14:paraId="427956F2" w14:textId="20A72807" w:rsidR="00821BA5" w:rsidRPr="006E1117" w:rsidRDefault="00821BA5" w:rsidP="00821BA5">
                  <w:pPr>
                    <w:rPr>
                      <w:rFonts w:ascii="Times New Roman" w:eastAsia="Times New Roman" w:hAnsi="Times New Roman" w:cs="Times New Roman"/>
                      <w:sz w:val="20"/>
                      <w:szCs w:val="20"/>
                      <w:lang w:val="sr-Cyrl-RS"/>
                    </w:rPr>
                  </w:pPr>
                  <w:r w:rsidRPr="006E1117">
                    <w:rPr>
                      <w:rFonts w:ascii="Times New Roman" w:hAnsi="Times New Roman" w:cs="Times New Roman"/>
                      <w:sz w:val="20"/>
                      <w:szCs w:val="20"/>
                    </w:rPr>
                    <w:t>О2. Application of knowledge and understanding</w:t>
                  </w:r>
                </w:p>
              </w:tc>
              <w:tc>
                <w:tcPr>
                  <w:tcW w:w="0" w:type="auto"/>
                  <w:hideMark/>
                </w:tcPr>
                <w:p w14:paraId="44095443" w14:textId="77777777" w:rsidR="00821BA5" w:rsidRPr="006E1117" w:rsidRDefault="00821BA5" w:rsidP="00821BA5">
                  <w:pPr>
                    <w:rPr>
                      <w:rFonts w:ascii="Times New Roman" w:eastAsia="Times New Roman" w:hAnsi="Times New Roman" w:cs="Times New Roman"/>
                      <w:sz w:val="20"/>
                      <w:szCs w:val="20"/>
                    </w:rPr>
                  </w:pPr>
                  <w:r w:rsidRPr="006E1117">
                    <w:rPr>
                      <w:rFonts w:ascii="Times New Roman" w:eastAsia="Times New Roman" w:hAnsi="Times New Roman" w:cs="Times New Roman"/>
                      <w:sz w:val="20"/>
                      <w:szCs w:val="20"/>
                    </w:rPr>
                    <w:t>М3, М4, М5</w:t>
                  </w:r>
                </w:p>
              </w:tc>
              <w:tc>
                <w:tcPr>
                  <w:tcW w:w="0" w:type="auto"/>
                  <w:hideMark/>
                </w:tcPr>
                <w:p w14:paraId="34F259B8" w14:textId="58DD4F46" w:rsidR="00821BA5" w:rsidRPr="006E1117" w:rsidRDefault="00821BA5" w:rsidP="00821BA5">
                  <w:pPr>
                    <w:rPr>
                      <w:rFonts w:ascii="Times New Roman" w:eastAsia="Times New Roman" w:hAnsi="Times New Roman" w:cs="Times New Roman"/>
                      <w:sz w:val="20"/>
                      <w:szCs w:val="20"/>
                    </w:rPr>
                  </w:pPr>
                  <w:r w:rsidRPr="006E1117">
                    <w:rPr>
                      <w:rFonts w:ascii="Times New Roman" w:hAnsi="Times New Roman" w:cs="Times New Roman"/>
                      <w:sz w:val="20"/>
                      <w:szCs w:val="20"/>
                    </w:rPr>
                    <w:t>Midterm exam, practical classes</w:t>
                  </w:r>
                </w:p>
              </w:tc>
            </w:tr>
            <w:tr w:rsidR="00821BA5" w:rsidRPr="006E1117" w14:paraId="4E73BEA6" w14:textId="77777777" w:rsidTr="00D10EF0">
              <w:trPr>
                <w:jc w:val="center"/>
              </w:trPr>
              <w:tc>
                <w:tcPr>
                  <w:tcW w:w="0" w:type="auto"/>
                  <w:hideMark/>
                </w:tcPr>
                <w:p w14:paraId="5C4E7A17" w14:textId="6126ED63" w:rsidR="00821BA5" w:rsidRPr="006E1117" w:rsidRDefault="00821BA5" w:rsidP="00821BA5">
                  <w:pPr>
                    <w:rPr>
                      <w:rFonts w:ascii="Times New Roman" w:eastAsia="Times New Roman" w:hAnsi="Times New Roman" w:cs="Times New Roman"/>
                      <w:sz w:val="20"/>
                      <w:szCs w:val="20"/>
                    </w:rPr>
                  </w:pPr>
                  <w:r w:rsidRPr="006E1117">
                    <w:rPr>
                      <w:rFonts w:ascii="Times New Roman" w:hAnsi="Times New Roman" w:cs="Times New Roman"/>
                      <w:sz w:val="20"/>
                      <w:szCs w:val="20"/>
                    </w:rPr>
                    <w:t>О3. Making judgments</w:t>
                  </w:r>
                </w:p>
              </w:tc>
              <w:tc>
                <w:tcPr>
                  <w:tcW w:w="0" w:type="auto"/>
                  <w:hideMark/>
                </w:tcPr>
                <w:p w14:paraId="49AEBD5D" w14:textId="77777777" w:rsidR="00821BA5" w:rsidRPr="006E1117" w:rsidRDefault="00821BA5" w:rsidP="00821BA5">
                  <w:pPr>
                    <w:rPr>
                      <w:rFonts w:ascii="Times New Roman" w:eastAsia="Times New Roman" w:hAnsi="Times New Roman" w:cs="Times New Roman"/>
                      <w:sz w:val="20"/>
                      <w:szCs w:val="20"/>
                    </w:rPr>
                  </w:pPr>
                  <w:r w:rsidRPr="006E1117">
                    <w:rPr>
                      <w:rFonts w:ascii="Times New Roman" w:eastAsia="Times New Roman" w:hAnsi="Times New Roman" w:cs="Times New Roman"/>
                      <w:sz w:val="20"/>
                      <w:szCs w:val="20"/>
                    </w:rPr>
                    <w:t>М2, М5</w:t>
                  </w:r>
                </w:p>
              </w:tc>
              <w:tc>
                <w:tcPr>
                  <w:tcW w:w="0" w:type="auto"/>
                  <w:hideMark/>
                </w:tcPr>
                <w:p w14:paraId="4FA38009" w14:textId="078E3CD5" w:rsidR="00821BA5" w:rsidRPr="006E1117" w:rsidRDefault="00821BA5" w:rsidP="00821BA5">
                  <w:pPr>
                    <w:rPr>
                      <w:rFonts w:ascii="Times New Roman" w:eastAsia="Times New Roman" w:hAnsi="Times New Roman" w:cs="Times New Roman"/>
                      <w:sz w:val="20"/>
                      <w:szCs w:val="20"/>
                    </w:rPr>
                  </w:pPr>
                  <w:r w:rsidRPr="006E1117">
                    <w:rPr>
                      <w:rFonts w:ascii="Times New Roman" w:hAnsi="Times New Roman" w:cs="Times New Roman"/>
                      <w:sz w:val="20"/>
                      <w:szCs w:val="20"/>
                    </w:rPr>
                    <w:t>Final exam, in-class activities</w:t>
                  </w:r>
                </w:p>
              </w:tc>
            </w:tr>
            <w:tr w:rsidR="00821BA5" w:rsidRPr="006E1117" w14:paraId="481B5B62" w14:textId="77777777" w:rsidTr="00D10EF0">
              <w:trPr>
                <w:jc w:val="center"/>
              </w:trPr>
              <w:tc>
                <w:tcPr>
                  <w:tcW w:w="0" w:type="auto"/>
                  <w:hideMark/>
                </w:tcPr>
                <w:p w14:paraId="4965B6ED" w14:textId="69CB60D7" w:rsidR="00821BA5" w:rsidRPr="006E1117" w:rsidRDefault="00821BA5" w:rsidP="00821BA5">
                  <w:pPr>
                    <w:rPr>
                      <w:rFonts w:ascii="Times New Roman" w:eastAsia="Times New Roman" w:hAnsi="Times New Roman" w:cs="Times New Roman"/>
                      <w:sz w:val="20"/>
                      <w:szCs w:val="20"/>
                    </w:rPr>
                  </w:pPr>
                  <w:r w:rsidRPr="006E1117">
                    <w:rPr>
                      <w:rFonts w:ascii="Times New Roman" w:hAnsi="Times New Roman" w:cs="Times New Roman"/>
                      <w:sz w:val="20"/>
                      <w:szCs w:val="20"/>
                    </w:rPr>
                    <w:t>О4. Communication skills</w:t>
                  </w:r>
                </w:p>
              </w:tc>
              <w:tc>
                <w:tcPr>
                  <w:tcW w:w="0" w:type="auto"/>
                  <w:hideMark/>
                </w:tcPr>
                <w:p w14:paraId="5E278D05" w14:textId="77777777" w:rsidR="00821BA5" w:rsidRPr="006E1117" w:rsidRDefault="00821BA5" w:rsidP="00821BA5">
                  <w:pPr>
                    <w:rPr>
                      <w:rFonts w:ascii="Times New Roman" w:eastAsia="Times New Roman" w:hAnsi="Times New Roman" w:cs="Times New Roman"/>
                      <w:sz w:val="20"/>
                      <w:szCs w:val="20"/>
                    </w:rPr>
                  </w:pPr>
                  <w:r w:rsidRPr="006E1117">
                    <w:rPr>
                      <w:rFonts w:ascii="Times New Roman" w:eastAsia="Times New Roman" w:hAnsi="Times New Roman" w:cs="Times New Roman"/>
                      <w:sz w:val="20"/>
                      <w:szCs w:val="20"/>
                    </w:rPr>
                    <w:t>М2, М4</w:t>
                  </w:r>
                </w:p>
              </w:tc>
              <w:tc>
                <w:tcPr>
                  <w:tcW w:w="0" w:type="auto"/>
                  <w:hideMark/>
                </w:tcPr>
                <w:p w14:paraId="2E59DA60" w14:textId="4DF88EEE" w:rsidR="00821BA5" w:rsidRPr="006E1117" w:rsidRDefault="00821BA5" w:rsidP="00821BA5">
                  <w:pPr>
                    <w:rPr>
                      <w:rFonts w:ascii="Times New Roman" w:eastAsia="Times New Roman" w:hAnsi="Times New Roman" w:cs="Times New Roman"/>
                      <w:sz w:val="20"/>
                      <w:szCs w:val="20"/>
                    </w:rPr>
                  </w:pPr>
                  <w:r w:rsidRPr="006E1117">
                    <w:rPr>
                      <w:rFonts w:ascii="Times New Roman" w:hAnsi="Times New Roman" w:cs="Times New Roman"/>
                      <w:sz w:val="20"/>
                      <w:szCs w:val="20"/>
                    </w:rPr>
                    <w:t>Presentations, in-class activities</w:t>
                  </w:r>
                </w:p>
              </w:tc>
            </w:tr>
            <w:tr w:rsidR="00821BA5" w:rsidRPr="006E1117" w14:paraId="348C45E6" w14:textId="77777777" w:rsidTr="00D10EF0">
              <w:trPr>
                <w:jc w:val="center"/>
              </w:trPr>
              <w:tc>
                <w:tcPr>
                  <w:tcW w:w="0" w:type="auto"/>
                  <w:hideMark/>
                </w:tcPr>
                <w:p w14:paraId="5C8D9584" w14:textId="038A6CBC" w:rsidR="00821BA5" w:rsidRPr="006E1117" w:rsidRDefault="00821BA5" w:rsidP="00821BA5">
                  <w:pPr>
                    <w:rPr>
                      <w:rFonts w:ascii="Times New Roman" w:eastAsia="Times New Roman" w:hAnsi="Times New Roman" w:cs="Times New Roman"/>
                      <w:sz w:val="20"/>
                      <w:szCs w:val="20"/>
                    </w:rPr>
                  </w:pPr>
                  <w:r w:rsidRPr="006E1117">
                    <w:rPr>
                      <w:rFonts w:ascii="Times New Roman" w:hAnsi="Times New Roman" w:cs="Times New Roman"/>
                      <w:sz w:val="20"/>
                      <w:szCs w:val="20"/>
                    </w:rPr>
                    <w:t>О5. Learning skills</w:t>
                  </w:r>
                </w:p>
              </w:tc>
              <w:tc>
                <w:tcPr>
                  <w:tcW w:w="0" w:type="auto"/>
                  <w:hideMark/>
                </w:tcPr>
                <w:p w14:paraId="3EADDDC4" w14:textId="77777777" w:rsidR="00821BA5" w:rsidRPr="006E1117" w:rsidRDefault="00821BA5" w:rsidP="00821BA5">
                  <w:pPr>
                    <w:rPr>
                      <w:rFonts w:ascii="Times New Roman" w:eastAsia="Times New Roman" w:hAnsi="Times New Roman" w:cs="Times New Roman"/>
                      <w:sz w:val="20"/>
                      <w:szCs w:val="20"/>
                    </w:rPr>
                  </w:pPr>
                  <w:r w:rsidRPr="006E1117">
                    <w:rPr>
                      <w:rFonts w:ascii="Times New Roman" w:eastAsia="Times New Roman" w:hAnsi="Times New Roman" w:cs="Times New Roman"/>
                      <w:sz w:val="20"/>
                      <w:szCs w:val="20"/>
                    </w:rPr>
                    <w:t>М4, М5</w:t>
                  </w:r>
                </w:p>
              </w:tc>
              <w:tc>
                <w:tcPr>
                  <w:tcW w:w="0" w:type="auto"/>
                  <w:hideMark/>
                </w:tcPr>
                <w:p w14:paraId="2F2188DD" w14:textId="5A92CA8A" w:rsidR="00821BA5" w:rsidRPr="006E1117" w:rsidRDefault="00821BA5" w:rsidP="00821BA5">
                  <w:pPr>
                    <w:rPr>
                      <w:rFonts w:ascii="Times New Roman" w:eastAsia="Times New Roman" w:hAnsi="Times New Roman" w:cs="Times New Roman"/>
                      <w:sz w:val="20"/>
                      <w:szCs w:val="20"/>
                    </w:rPr>
                  </w:pPr>
                  <w:r w:rsidRPr="006E1117">
                    <w:rPr>
                      <w:rFonts w:ascii="Times New Roman" w:hAnsi="Times New Roman" w:cs="Times New Roman"/>
                      <w:sz w:val="20"/>
                      <w:szCs w:val="20"/>
                    </w:rPr>
                    <w:t>Project work, practical classes</w:t>
                  </w:r>
                </w:p>
              </w:tc>
            </w:tr>
          </w:tbl>
          <w:p w14:paraId="2A0587FB" w14:textId="21AA27D1" w:rsidR="00821BA5" w:rsidRPr="00903FAF" w:rsidRDefault="00821BA5" w:rsidP="00821BA5">
            <w:pPr>
              <w:pStyle w:val="Body"/>
              <w:tabs>
                <w:tab w:val="left" w:pos="567"/>
              </w:tabs>
              <w:spacing w:before="60" w:after="60"/>
              <w:jc w:val="both"/>
              <w:rPr>
                <w:rFonts w:ascii="Times New Roman" w:hAnsi="Times New Roman" w:cs="Times New Roman"/>
                <w:sz w:val="20"/>
                <w:szCs w:val="20"/>
                <w:lang w:val="sr-Cyrl-RS"/>
              </w:rPr>
            </w:pPr>
          </w:p>
        </w:tc>
      </w:tr>
      <w:tr w:rsidR="00821BA5"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3714E0C0" w:rsidR="00821BA5" w:rsidRPr="00664504" w:rsidRDefault="00FD3FA0" w:rsidP="00821BA5">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FD3FA0"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530C4DDE"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FD3FA0"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0F770C5A"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2DAC88E5" w:rsidR="00FD3FA0" w:rsidRPr="00CB6A14" w:rsidRDefault="00FD3FA0" w:rsidP="00FD3FA0">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FD3FA0" w:rsidRPr="00664504" w:rsidRDefault="00FD3FA0" w:rsidP="00FD3FA0">
            <w:pPr>
              <w:tabs>
                <w:tab w:val="left" w:pos="567"/>
              </w:tabs>
              <w:spacing w:before="60" w:after="60"/>
              <w:rPr>
                <w:sz w:val="20"/>
                <w:szCs w:val="20"/>
                <w:lang w:val="en-GB"/>
              </w:rPr>
            </w:pPr>
          </w:p>
        </w:tc>
      </w:tr>
      <w:tr w:rsidR="00FD3FA0"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561C0259"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57D774A3" w:rsidR="00FD3FA0" w:rsidRPr="00CB6A14" w:rsidRDefault="00FD3FA0" w:rsidP="00FD3FA0">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1B026270" w:rsidR="00FD3FA0" w:rsidRPr="00CB6A14" w:rsidRDefault="00FD3FA0" w:rsidP="00FD3FA0">
            <w:pPr>
              <w:spacing w:before="60" w:after="60"/>
              <w:rPr>
                <w:bCs/>
                <w:sz w:val="20"/>
                <w:szCs w:val="20"/>
                <w:lang w:val="en-GB"/>
              </w:rPr>
            </w:pPr>
            <w:r w:rsidRPr="00CB6A14">
              <w:rPr>
                <w:bCs/>
                <w:sz w:val="20"/>
                <w:szCs w:val="20"/>
                <w:lang w:val="en-GB"/>
              </w:rPr>
              <w:t>50</w:t>
            </w:r>
          </w:p>
        </w:tc>
      </w:tr>
      <w:tr w:rsidR="00FD3FA0"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7B6EC723"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Presentations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09EC48B0" w:rsidR="00FD3FA0" w:rsidRPr="00CB6A14" w:rsidRDefault="00AB3C9A" w:rsidP="00FD3FA0">
            <w:pPr>
              <w:tabs>
                <w:tab w:val="left" w:pos="567"/>
              </w:tabs>
              <w:spacing w:before="60" w:after="60"/>
              <w:rPr>
                <w:bCs/>
                <w:sz w:val="20"/>
                <w:szCs w:val="20"/>
                <w:lang w:val="en-GB"/>
              </w:rPr>
            </w:pPr>
            <w:r>
              <w:rPr>
                <w:bCs/>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4587363C" w:rsidR="00FD3FA0" w:rsidRPr="00664504" w:rsidRDefault="00FD3FA0" w:rsidP="00FD3FA0">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FD3FA0" w:rsidRPr="00664504" w:rsidRDefault="00FD3FA0" w:rsidP="00FD3FA0">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94292" w14:textId="77777777" w:rsidR="00EF75B5" w:rsidRDefault="00EF75B5">
      <w:r>
        <w:separator/>
      </w:r>
    </w:p>
  </w:endnote>
  <w:endnote w:type="continuationSeparator" w:id="0">
    <w:p w14:paraId="630DC0DD" w14:textId="77777777" w:rsidR="00EF75B5" w:rsidRDefault="00EF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1F77" w14:textId="77777777" w:rsidR="00EF75B5" w:rsidRDefault="00EF75B5">
      <w:r>
        <w:separator/>
      </w:r>
    </w:p>
  </w:footnote>
  <w:footnote w:type="continuationSeparator" w:id="0">
    <w:p w14:paraId="320D3986" w14:textId="77777777" w:rsidR="00EF75B5" w:rsidRDefault="00EF7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D1EEF"/>
    <w:multiLevelType w:val="hybridMultilevel"/>
    <w:tmpl w:val="B744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9E37905"/>
    <w:multiLevelType w:val="hybridMultilevel"/>
    <w:tmpl w:val="23168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7638974">
    <w:abstractNumId w:val="2"/>
  </w:num>
  <w:num w:numId="2" w16cid:durableId="977610522">
    <w:abstractNumId w:val="1"/>
  </w:num>
  <w:num w:numId="3" w16cid:durableId="815223414">
    <w:abstractNumId w:val="3"/>
  </w:num>
  <w:num w:numId="4" w16cid:durableId="40596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6306B"/>
    <w:rsid w:val="001875D4"/>
    <w:rsid w:val="00192F3E"/>
    <w:rsid w:val="002011A8"/>
    <w:rsid w:val="00220D99"/>
    <w:rsid w:val="00234CBD"/>
    <w:rsid w:val="00270C16"/>
    <w:rsid w:val="00274B00"/>
    <w:rsid w:val="00282EFE"/>
    <w:rsid w:val="002A40A7"/>
    <w:rsid w:val="002A57C6"/>
    <w:rsid w:val="002A5B4C"/>
    <w:rsid w:val="002A631D"/>
    <w:rsid w:val="002E1476"/>
    <w:rsid w:val="00325620"/>
    <w:rsid w:val="0036239B"/>
    <w:rsid w:val="00365985"/>
    <w:rsid w:val="00375C02"/>
    <w:rsid w:val="00381047"/>
    <w:rsid w:val="00385793"/>
    <w:rsid w:val="00392F3E"/>
    <w:rsid w:val="00405D7A"/>
    <w:rsid w:val="00411BD1"/>
    <w:rsid w:val="004244F8"/>
    <w:rsid w:val="00435716"/>
    <w:rsid w:val="004E022E"/>
    <w:rsid w:val="00500B0B"/>
    <w:rsid w:val="00523340"/>
    <w:rsid w:val="005239D3"/>
    <w:rsid w:val="005507C5"/>
    <w:rsid w:val="005842F8"/>
    <w:rsid w:val="00592A50"/>
    <w:rsid w:val="005C1330"/>
    <w:rsid w:val="00641FAC"/>
    <w:rsid w:val="00647AA2"/>
    <w:rsid w:val="00662249"/>
    <w:rsid w:val="00664504"/>
    <w:rsid w:val="00674A82"/>
    <w:rsid w:val="006837CB"/>
    <w:rsid w:val="006A51D6"/>
    <w:rsid w:val="006D2C6B"/>
    <w:rsid w:val="006D784D"/>
    <w:rsid w:val="006E1117"/>
    <w:rsid w:val="006E4013"/>
    <w:rsid w:val="00715F15"/>
    <w:rsid w:val="00747228"/>
    <w:rsid w:val="00755A06"/>
    <w:rsid w:val="007604E9"/>
    <w:rsid w:val="007665F2"/>
    <w:rsid w:val="00774592"/>
    <w:rsid w:val="007C0B15"/>
    <w:rsid w:val="007D24B9"/>
    <w:rsid w:val="007D5816"/>
    <w:rsid w:val="007F75C2"/>
    <w:rsid w:val="00821BA5"/>
    <w:rsid w:val="008224D9"/>
    <w:rsid w:val="00837E2E"/>
    <w:rsid w:val="00846C45"/>
    <w:rsid w:val="00871042"/>
    <w:rsid w:val="00883E0E"/>
    <w:rsid w:val="008A4D74"/>
    <w:rsid w:val="00903FAF"/>
    <w:rsid w:val="009E21AF"/>
    <w:rsid w:val="00A330F4"/>
    <w:rsid w:val="00A472E9"/>
    <w:rsid w:val="00A60CF7"/>
    <w:rsid w:val="00A67A05"/>
    <w:rsid w:val="00A85722"/>
    <w:rsid w:val="00AB345B"/>
    <w:rsid w:val="00AB3C9A"/>
    <w:rsid w:val="00AC561F"/>
    <w:rsid w:val="00AD7D31"/>
    <w:rsid w:val="00B05795"/>
    <w:rsid w:val="00B40F3B"/>
    <w:rsid w:val="00B47D41"/>
    <w:rsid w:val="00B97188"/>
    <w:rsid w:val="00BA156B"/>
    <w:rsid w:val="00C2377E"/>
    <w:rsid w:val="00C64583"/>
    <w:rsid w:val="00CA26B3"/>
    <w:rsid w:val="00CB6A14"/>
    <w:rsid w:val="00CC13CA"/>
    <w:rsid w:val="00CC1C7B"/>
    <w:rsid w:val="00CC51EC"/>
    <w:rsid w:val="00D276F0"/>
    <w:rsid w:val="00D777A4"/>
    <w:rsid w:val="00DC2C7C"/>
    <w:rsid w:val="00DC5AF8"/>
    <w:rsid w:val="00E14DCE"/>
    <w:rsid w:val="00E72084"/>
    <w:rsid w:val="00EA0C7D"/>
    <w:rsid w:val="00EB59BF"/>
    <w:rsid w:val="00EF07E3"/>
    <w:rsid w:val="00EF75B5"/>
    <w:rsid w:val="00F3363F"/>
    <w:rsid w:val="00F45F3B"/>
    <w:rsid w:val="00F57219"/>
    <w:rsid w:val="00F65B99"/>
    <w:rsid w:val="00FD3FA0"/>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1875D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15399-55FE-402A-80D7-EA09834BF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1354</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35</cp:revision>
  <dcterms:created xsi:type="dcterms:W3CDTF">2026-03-23T14:52:00Z</dcterms:created>
  <dcterms:modified xsi:type="dcterms:W3CDTF">2026-06-04T08:55:00Z</dcterms:modified>
</cp:coreProperties>
</file>